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313D9004" w14:textId="2FC5310A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Sliding Glass Door Tracks: </w:t>
      </w:r>
      <w:r w:rsidRPr="000117C2">
        <w:rPr>
          <w:rFonts w:ascii="Arial" w:hAnsi="Arial"/>
          <w:sz w:val="20"/>
        </w:rPr>
        <w:t>CRT-103</w:t>
      </w:r>
      <w:r w:rsidR="004E79AC" w:rsidRPr="000117C2">
        <w:rPr>
          <w:rFonts w:ascii="Arial" w:hAnsi="Arial"/>
          <w:sz w:val="20"/>
        </w:rPr>
        <w:t>-SS</w:t>
      </w:r>
      <w:r w:rsidRPr="000435ED">
        <w:rPr>
          <w:rFonts w:ascii="Arial" w:hAnsi="Arial"/>
          <w:sz w:val="20"/>
        </w:rPr>
        <w:t xml:space="preserve"> Face Mount Glass Hanger by K.N. Crowder Inc. with the following characteristics:</w:t>
      </w:r>
    </w:p>
    <w:p w14:paraId="21CABA3A" w14:textId="4C94D9D8" w:rsidR="00DF266A" w:rsidRPr="00806FD6" w:rsidRDefault="00DF266A" w:rsidP="00806FD6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806FD6">
        <w:rPr>
          <w:rFonts w:ascii="Arial" w:hAnsi="Arial"/>
          <w:sz w:val="20"/>
        </w:rPr>
        <w:t>Exposed barn door hardware, strap</w:t>
      </w:r>
      <w:r w:rsidR="00806FD6" w:rsidRPr="00110F2F">
        <w:rPr>
          <w:rFonts w:ascii="Arial" w:hAnsi="Arial"/>
          <w:sz w:val="20"/>
        </w:rPr>
        <w:t xml:space="preserve"> mount hanger for glass doors, shock absorbing stops, </w:t>
      </w:r>
      <w:r w:rsidR="00806FD6">
        <w:rPr>
          <w:rFonts w:ascii="Arial" w:hAnsi="Arial"/>
          <w:sz w:val="20"/>
        </w:rPr>
        <w:t xml:space="preserve">Delrin core </w:t>
      </w:r>
      <w:r w:rsidR="00806FD6" w:rsidRPr="000435ED">
        <w:rPr>
          <w:rFonts w:ascii="Arial" w:hAnsi="Arial"/>
          <w:sz w:val="20"/>
        </w:rPr>
        <w:t xml:space="preserve">wheels with </w:t>
      </w:r>
      <w:r w:rsidR="00806FD6">
        <w:rPr>
          <w:rFonts w:ascii="Arial" w:hAnsi="Arial"/>
          <w:sz w:val="20"/>
        </w:rPr>
        <w:t xml:space="preserve">precision </w:t>
      </w:r>
      <w:r w:rsidR="00806FD6" w:rsidRPr="000435ED">
        <w:rPr>
          <w:rFonts w:ascii="Arial" w:hAnsi="Arial"/>
          <w:sz w:val="20"/>
        </w:rPr>
        <w:t>ground ball bearings</w:t>
      </w:r>
      <w:r w:rsidR="00806FD6">
        <w:rPr>
          <w:rFonts w:ascii="Arial" w:hAnsi="Arial"/>
          <w:sz w:val="20"/>
        </w:rPr>
        <w:t>, bottom guide system</w:t>
      </w:r>
    </w:p>
    <w:p w14:paraId="79571590" w14:textId="05CF9287" w:rsidR="00DF266A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Material: Solid Type 304 satin stainless steel, </w:t>
      </w:r>
      <w:proofErr w:type="gramStart"/>
      <w:r w:rsidRPr="000435ED">
        <w:rPr>
          <w:rFonts w:ascii="Arial" w:hAnsi="Arial"/>
          <w:sz w:val="20"/>
        </w:rPr>
        <w:t>1 inch</w:t>
      </w:r>
      <w:proofErr w:type="gramEnd"/>
      <w:r w:rsidRPr="000435ED">
        <w:rPr>
          <w:rFonts w:ascii="Arial" w:hAnsi="Arial"/>
          <w:sz w:val="20"/>
        </w:rPr>
        <w:t xml:space="preserve"> (25.4 mm) round bar track</w:t>
      </w:r>
    </w:p>
    <w:p w14:paraId="07350782" w14:textId="5179B912" w:rsidR="00CB7F6F" w:rsidRPr="00CB7F6F" w:rsidRDefault="00CB7F6F" w:rsidP="00CB7F6F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Glass </w:t>
      </w:r>
      <w:r w:rsidRPr="00110F2F">
        <w:rPr>
          <w:rFonts w:ascii="Arial" w:hAnsi="Arial"/>
          <w:sz w:val="20"/>
        </w:rPr>
        <w:t>Thickness:</w:t>
      </w:r>
      <w:r>
        <w:rPr>
          <w:rFonts w:ascii="Arial" w:hAnsi="Arial"/>
          <w:sz w:val="20"/>
        </w:rPr>
        <w:t xml:space="preserve"> </w:t>
      </w:r>
      <w:r w:rsidRPr="00ED76F4">
        <w:rPr>
          <w:rFonts w:ascii="Arial" w:hAnsi="Arial"/>
          <w:b/>
          <w:color w:val="C00000"/>
          <w:sz w:val="20"/>
        </w:rPr>
        <w:t>Choose 1 option: [3/8 inch (10 mm)] [1/2 inch (12 mm)]</w:t>
      </w:r>
    </w:p>
    <w:p w14:paraId="46075199" w14:textId="77777777" w:rsidR="00A4000E" w:rsidRDefault="00DF266A" w:rsidP="00A4000E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A4000E" w:rsidRPr="000435ED">
        <w:rPr>
          <w:rFonts w:ascii="Arial" w:hAnsi="Arial"/>
          <w:sz w:val="20"/>
        </w:rPr>
        <w:t>Two hangers for doors up to 350 lbs. (159 kg), three hangers for doors up to 450 lbs. (204 kg)</w:t>
      </w:r>
      <w:r w:rsidR="00A4000E">
        <w:rPr>
          <w:rFonts w:ascii="Arial" w:hAnsi="Arial"/>
          <w:sz w:val="20"/>
        </w:rPr>
        <w:t xml:space="preserve"> and</w:t>
      </w:r>
      <w:r w:rsidR="00A4000E" w:rsidRPr="000435ED">
        <w:rPr>
          <w:rFonts w:ascii="Arial" w:hAnsi="Arial"/>
          <w:sz w:val="20"/>
        </w:rPr>
        <w:t xml:space="preserve"> four hangers for doors up to 600 lbs. (272 kg)</w:t>
      </w:r>
    </w:p>
    <w:p w14:paraId="49D222F2" w14:textId="77777777" w:rsidR="00CB7F6F" w:rsidRPr="00406A7C" w:rsidRDefault="00CB7F6F" w:rsidP="00CB7F6F">
      <w:pPr>
        <w:pStyle w:val="PR2"/>
        <w:jc w:val="left"/>
        <w:rPr>
          <w:rFonts w:ascii="Arial" w:hAnsi="Arial"/>
          <w:sz w:val="20"/>
        </w:rPr>
      </w:pPr>
      <w:r w:rsidRPr="000F4E20">
        <w:rPr>
          <w:rFonts w:ascii="Arial" w:hAnsi="Arial"/>
          <w:sz w:val="20"/>
        </w:rPr>
        <w:t>Guide:</w:t>
      </w:r>
      <w:r>
        <w:rPr>
          <w:rFonts w:ascii="Arial" w:hAnsi="Arial"/>
          <w:sz w:val="20"/>
        </w:rPr>
        <w:t xml:space="preserve"> </w:t>
      </w:r>
      <w:r w:rsidRPr="000F4E20">
        <w:rPr>
          <w:rFonts w:ascii="Arial" w:hAnsi="Arial"/>
          <w:sz w:val="20"/>
        </w:rPr>
        <w:t>CGGS Stationary Glass Guide</w:t>
      </w:r>
      <w:r w:rsidRPr="000F4E20">
        <w:rPr>
          <w:rFonts w:ascii="Arial" w:hAnsi="Arial"/>
          <w:color w:val="C00000"/>
          <w:sz w:val="20"/>
        </w:rPr>
        <w:t xml:space="preserve"> </w:t>
      </w:r>
    </w:p>
    <w:p w14:paraId="09CB962D" w14:textId="7D9F3F82" w:rsidR="00EB45EA" w:rsidRPr="006350D6" w:rsidRDefault="00CB7F6F" w:rsidP="006350D6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  <w:bookmarkStart w:id="8" w:name="_GoBack"/>
      <w:bookmarkEnd w:id="8"/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350D6"/>
    <w:rsid w:val="00654E36"/>
    <w:rsid w:val="00667316"/>
    <w:rsid w:val="00684297"/>
    <w:rsid w:val="006B672F"/>
    <w:rsid w:val="006D37FC"/>
    <w:rsid w:val="006F6D8D"/>
    <w:rsid w:val="00751010"/>
    <w:rsid w:val="00756299"/>
    <w:rsid w:val="00764EE5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E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764E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64EE5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5072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2019-05-13T15:27:00Z</dcterms:created>
  <dcterms:modified xsi:type="dcterms:W3CDTF">2019-05-13T15:27:00Z</dcterms:modified>
  <cp:category/>
</cp:coreProperties>
</file>